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85" w:rsidRDefault="001D2D85" w:rsidP="00F95828">
      <w:pPr>
        <w:pStyle w:val="ListParagraph"/>
        <w:tabs>
          <w:tab w:val="left" w:pos="-540"/>
          <w:tab w:val="left" w:pos="-180"/>
        </w:tabs>
        <w:spacing w:after="120" w:line="216" w:lineRule="auto"/>
        <w:ind w:left="-274" w:right="-86"/>
        <w:rPr>
          <w:rFonts w:ascii="Times New Roman" w:hAnsi="Times New Roman"/>
          <w:b/>
          <w:i/>
          <w:u w:val="single"/>
        </w:rPr>
      </w:pPr>
      <w:r>
        <w:rPr>
          <w:rFonts w:ascii="Times New Roman" w:hAnsi="Times New Roman"/>
          <w:b/>
          <w:i/>
          <w:u w:val="single"/>
        </w:rPr>
        <w:t>Disclosure to Participants</w:t>
      </w:r>
    </w:p>
    <w:p w:rsidR="00B30348" w:rsidRPr="009B441C" w:rsidRDefault="00B30348" w:rsidP="00F95828">
      <w:pPr>
        <w:pStyle w:val="ListParagraph"/>
        <w:tabs>
          <w:tab w:val="left" w:pos="-540"/>
          <w:tab w:val="left" w:pos="-180"/>
        </w:tabs>
        <w:spacing w:after="120" w:line="216" w:lineRule="auto"/>
        <w:ind w:left="-274" w:right="-86"/>
        <w:rPr>
          <w:rFonts w:ascii="Times New Roman" w:hAnsi="Times New Roman"/>
          <w:b/>
        </w:rPr>
      </w:pPr>
      <w:r w:rsidRPr="00D81D25">
        <w:rPr>
          <w:rFonts w:ascii="Times New Roman" w:hAnsi="Times New Roman"/>
          <w:b/>
          <w:i/>
          <w:u w:val="single"/>
        </w:rPr>
        <w:t>Purpose of the Activity</w:t>
      </w:r>
      <w:r w:rsidRPr="00D81D25">
        <w:rPr>
          <w:rFonts w:ascii="Times New Roman" w:hAnsi="Times New Roman"/>
          <w:u w:val="single"/>
        </w:rPr>
        <w:t>:</w:t>
      </w:r>
      <w:r>
        <w:rPr>
          <w:rFonts w:ascii="Times New Roman" w:hAnsi="Times New Roman"/>
        </w:rPr>
        <w:t xml:space="preserve"> </w:t>
      </w:r>
      <w:r w:rsidR="00F95828" w:rsidRPr="00462439">
        <w:rPr>
          <w:rFonts w:ascii="Times New Roman" w:hAnsi="Times New Roman" w:cs="Times New Roman"/>
          <w:color w:val="333333"/>
        </w:rPr>
        <w:t>During this webinar, we will provide an overview of the strategic processes, tools and frameworks used by one health system to guide its 35 hospitals in the strategic planning process.  Many of the hospitals worked with local health departments and other key community stakeholders, and used a set of tools including evidence-based snapshots, to develop high impact strategies. The lessons learned and future challenges and opportunities for engagement of hospitals in the population health discourse will be discussed.</w:t>
      </w:r>
      <w:r w:rsidR="00F95828" w:rsidRPr="00D81D25">
        <w:rPr>
          <w:rFonts w:ascii="Times New Roman" w:hAnsi="Times New Roman"/>
        </w:rPr>
        <w:t xml:space="preserve"> </w:t>
      </w:r>
    </w:p>
    <w:p w:rsidR="00B30348" w:rsidRPr="003253B5" w:rsidRDefault="00B30348" w:rsidP="00F95828">
      <w:pPr>
        <w:pStyle w:val="ListParagraph"/>
        <w:tabs>
          <w:tab w:val="left" w:pos="-540"/>
          <w:tab w:val="left" w:pos="-180"/>
        </w:tabs>
        <w:spacing w:after="120" w:line="216" w:lineRule="auto"/>
        <w:ind w:left="-274" w:right="-86"/>
        <w:rPr>
          <w:rFonts w:ascii="Times New Roman" w:hAnsi="Times New Roman"/>
          <w:b/>
        </w:rPr>
      </w:pPr>
      <w:r w:rsidRPr="00D81D25">
        <w:rPr>
          <w:rFonts w:ascii="Times New Roman" w:hAnsi="Times New Roman"/>
          <w:b/>
          <w:i/>
          <w:u w:val="single"/>
        </w:rPr>
        <w:t>Objective</w:t>
      </w:r>
      <w:r>
        <w:rPr>
          <w:rFonts w:ascii="Times New Roman" w:hAnsi="Times New Roman"/>
          <w:b/>
          <w:i/>
          <w:u w:val="single"/>
        </w:rPr>
        <w:t>s of the Activity:</w:t>
      </w:r>
    </w:p>
    <w:p w:rsidR="00B30348" w:rsidRPr="003253B5" w:rsidRDefault="00B30348" w:rsidP="00B30348">
      <w:pPr>
        <w:pStyle w:val="ListParagraph"/>
        <w:numPr>
          <w:ilvl w:val="1"/>
          <w:numId w:val="1"/>
        </w:numPr>
        <w:tabs>
          <w:tab w:val="left" w:pos="-540"/>
          <w:tab w:val="left" w:pos="-180"/>
        </w:tabs>
        <w:spacing w:after="120" w:line="216" w:lineRule="auto"/>
        <w:ind w:right="-86"/>
        <w:rPr>
          <w:rFonts w:ascii="Times New Roman" w:hAnsi="Times New Roman"/>
          <w:b/>
        </w:rPr>
      </w:pPr>
      <w:r w:rsidRPr="003253B5">
        <w:rPr>
          <w:rFonts w:ascii="Times New Roman" w:hAnsi="Times New Roman"/>
          <w:b/>
        </w:rPr>
        <w:t>Differentiate the practice of nonprofit hospital-based health needs assessments historically and with</w:t>
      </w:r>
      <w:r>
        <w:rPr>
          <w:rFonts w:ascii="Times New Roman" w:hAnsi="Times New Roman"/>
          <w:b/>
        </w:rPr>
        <w:t xml:space="preserve"> </w:t>
      </w:r>
      <w:r w:rsidRPr="003253B5">
        <w:rPr>
          <w:rFonts w:ascii="Times New Roman" w:hAnsi="Times New Roman"/>
          <w:b/>
        </w:rPr>
        <w:t>the new Affordable Care Act requirements</w:t>
      </w:r>
    </w:p>
    <w:p w:rsidR="00B30348" w:rsidRPr="00F85F48" w:rsidRDefault="00B30348" w:rsidP="00B30348">
      <w:pPr>
        <w:pStyle w:val="ListParagraph"/>
        <w:numPr>
          <w:ilvl w:val="1"/>
          <w:numId w:val="1"/>
        </w:numPr>
        <w:tabs>
          <w:tab w:val="left" w:pos="-540"/>
          <w:tab w:val="left" w:pos="-180"/>
        </w:tabs>
        <w:spacing w:after="120" w:line="216" w:lineRule="auto"/>
        <w:ind w:right="-86"/>
        <w:rPr>
          <w:rFonts w:ascii="Times New Roman" w:hAnsi="Times New Roman"/>
          <w:b/>
        </w:rPr>
      </w:pPr>
      <w:r w:rsidRPr="003253B5">
        <w:rPr>
          <w:rFonts w:ascii="Times New Roman" w:hAnsi="Times New Roman"/>
          <w:b/>
        </w:rPr>
        <w:t>Articulate the importance and utility of population health frameworks, web-based technologies and</w:t>
      </w:r>
      <w:r>
        <w:rPr>
          <w:rFonts w:ascii="Times New Roman" w:hAnsi="Times New Roman"/>
          <w:b/>
        </w:rPr>
        <w:t xml:space="preserve"> </w:t>
      </w:r>
      <w:r w:rsidRPr="00F85F48">
        <w:rPr>
          <w:rFonts w:ascii="Times New Roman" w:hAnsi="Times New Roman"/>
          <w:b/>
        </w:rPr>
        <w:t>data tools for conducting community health needs</w:t>
      </w:r>
    </w:p>
    <w:p w:rsidR="00B30348" w:rsidRPr="00F85F48" w:rsidRDefault="00B30348" w:rsidP="00B30348">
      <w:pPr>
        <w:pStyle w:val="ListParagraph"/>
        <w:numPr>
          <w:ilvl w:val="1"/>
          <w:numId w:val="1"/>
        </w:numPr>
        <w:tabs>
          <w:tab w:val="left" w:pos="-540"/>
          <w:tab w:val="left" w:pos="-180"/>
        </w:tabs>
        <w:spacing w:after="120" w:line="216" w:lineRule="auto"/>
        <w:ind w:right="-86"/>
        <w:rPr>
          <w:rFonts w:ascii="Times New Roman" w:hAnsi="Times New Roman"/>
          <w:b/>
        </w:rPr>
      </w:pPr>
      <w:r w:rsidRPr="003253B5">
        <w:rPr>
          <w:rFonts w:ascii="Times New Roman" w:hAnsi="Times New Roman"/>
          <w:b/>
        </w:rPr>
        <w:t>Explain and discuss how clinical care systems and public health systems can work toward attaining</w:t>
      </w:r>
      <w:r>
        <w:rPr>
          <w:rFonts w:ascii="Times New Roman" w:hAnsi="Times New Roman"/>
          <w:b/>
        </w:rPr>
        <w:t xml:space="preserve"> </w:t>
      </w:r>
      <w:r w:rsidRPr="00F85F48">
        <w:rPr>
          <w:rFonts w:ascii="Times New Roman" w:hAnsi="Times New Roman"/>
          <w:b/>
        </w:rPr>
        <w:t>population health</w:t>
      </w:r>
    </w:p>
    <w:p w:rsidR="00B30348" w:rsidRPr="008E7ACD" w:rsidRDefault="00B30348" w:rsidP="00F95828">
      <w:pPr>
        <w:pStyle w:val="ListParagraph"/>
        <w:tabs>
          <w:tab w:val="left" w:pos="-540"/>
          <w:tab w:val="left" w:pos="-180"/>
        </w:tabs>
        <w:spacing w:after="120" w:line="216" w:lineRule="auto"/>
        <w:ind w:left="-274" w:right="-86"/>
        <w:rPr>
          <w:rFonts w:ascii="Times New Roman" w:hAnsi="Times New Roman"/>
        </w:rPr>
      </w:pPr>
      <w:r w:rsidRPr="00D81D25">
        <w:rPr>
          <w:rFonts w:ascii="Times New Roman" w:hAnsi="Times New Roman"/>
          <w:b/>
          <w:i/>
          <w:u w:val="single"/>
        </w:rPr>
        <w:t>Target Audience</w:t>
      </w:r>
      <w:r w:rsidRPr="008E7ACD">
        <w:rPr>
          <w:rFonts w:ascii="Times New Roman" w:hAnsi="Times New Roman"/>
        </w:rPr>
        <w:t>:</w:t>
      </w:r>
      <w:r>
        <w:rPr>
          <w:rFonts w:ascii="Times New Roman" w:hAnsi="Times New Roman"/>
        </w:rPr>
        <w:t xml:space="preserve"> Health </w:t>
      </w:r>
      <w:r w:rsidR="00462439">
        <w:rPr>
          <w:rFonts w:ascii="Times New Roman" w:hAnsi="Times New Roman"/>
        </w:rPr>
        <w:t>A</w:t>
      </w:r>
      <w:r>
        <w:rPr>
          <w:rFonts w:ascii="Times New Roman" w:hAnsi="Times New Roman"/>
        </w:rPr>
        <w:t>dministrators, Public Health Professionals, Research and Evaluation Staff</w:t>
      </w:r>
    </w:p>
    <w:p w:rsidR="00B30348" w:rsidRPr="00D81D25" w:rsidRDefault="00B30348" w:rsidP="00F95828">
      <w:pPr>
        <w:pStyle w:val="ListParagraph"/>
        <w:tabs>
          <w:tab w:val="left" w:pos="-540"/>
          <w:tab w:val="left" w:pos="-180"/>
        </w:tabs>
        <w:spacing w:after="120" w:line="216" w:lineRule="auto"/>
        <w:ind w:left="-274" w:right="-86"/>
        <w:rPr>
          <w:rFonts w:ascii="Times New Roman" w:hAnsi="Times New Roman"/>
        </w:rPr>
      </w:pPr>
      <w:r w:rsidRPr="00D81D25">
        <w:rPr>
          <w:rFonts w:ascii="Times New Roman" w:hAnsi="Times New Roman"/>
          <w:b/>
          <w:i/>
          <w:iCs/>
          <w:u w:val="single"/>
        </w:rPr>
        <w:t>Presence or Absence of Conflict of Interest for planners/faculty/authors/moderators</w:t>
      </w:r>
      <w:r w:rsidRPr="005A236F">
        <w:rPr>
          <w:rFonts w:ascii="Times New Roman" w:hAnsi="Times New Roman"/>
          <w:iCs/>
        </w:rPr>
        <w:t>:</w:t>
      </w:r>
      <w:r>
        <w:rPr>
          <w:rFonts w:ascii="Times New Roman" w:hAnsi="Times New Roman"/>
          <w:iCs/>
        </w:rPr>
        <w:t xml:space="preserve"> </w:t>
      </w:r>
      <w:r w:rsidR="00F95828">
        <w:rPr>
          <w:rFonts w:ascii="Times New Roman" w:hAnsi="Times New Roman"/>
          <w:iCs/>
        </w:rPr>
        <w:t>There are no conflicts of interest for the planners/faculty/authors or moderators as it relates to this live web-based activity</w:t>
      </w:r>
    </w:p>
    <w:p w:rsidR="00B30348" w:rsidRPr="00D81D25" w:rsidRDefault="00B30348" w:rsidP="00F95828">
      <w:pPr>
        <w:pStyle w:val="ListParagraph"/>
        <w:tabs>
          <w:tab w:val="left" w:pos="-540"/>
          <w:tab w:val="left" w:pos="-180"/>
        </w:tabs>
        <w:spacing w:after="120" w:line="216" w:lineRule="auto"/>
        <w:ind w:left="-274" w:right="-86"/>
        <w:rPr>
          <w:rFonts w:ascii="Times New Roman" w:hAnsi="Times New Roman"/>
        </w:rPr>
      </w:pPr>
      <w:r w:rsidRPr="00D81D25">
        <w:rPr>
          <w:rFonts w:ascii="Times New Roman" w:hAnsi="Times New Roman"/>
          <w:b/>
          <w:i/>
          <w:iCs/>
          <w:u w:val="single"/>
        </w:rPr>
        <w:t>Presence or Absence of Commercial and/or Sponsorship Support disclosur</w:t>
      </w:r>
      <w:r w:rsidRPr="00D81D25">
        <w:rPr>
          <w:rFonts w:ascii="Times New Roman" w:hAnsi="Times New Roman"/>
          <w:iCs/>
          <w:u w:val="single"/>
        </w:rPr>
        <w:t>e</w:t>
      </w:r>
      <w:r>
        <w:rPr>
          <w:rFonts w:ascii="Times New Roman" w:hAnsi="Times New Roman"/>
          <w:iCs/>
        </w:rPr>
        <w:t xml:space="preserve"> </w:t>
      </w:r>
      <w:r w:rsidR="00F95828">
        <w:rPr>
          <w:rFonts w:ascii="Times New Roman" w:hAnsi="Times New Roman"/>
          <w:iCs/>
        </w:rPr>
        <w:t>There is no commercial and or sponsorship support for this educational activity</w:t>
      </w:r>
    </w:p>
    <w:p w:rsidR="00B30348" w:rsidRPr="005A236F" w:rsidRDefault="00B30348" w:rsidP="00F95828">
      <w:pPr>
        <w:pStyle w:val="ListParagraph"/>
        <w:tabs>
          <w:tab w:val="left" w:pos="-540"/>
          <w:tab w:val="left" w:pos="-180"/>
        </w:tabs>
        <w:spacing w:after="120" w:line="216" w:lineRule="auto"/>
        <w:ind w:left="-274" w:right="-86"/>
        <w:rPr>
          <w:rFonts w:ascii="Times New Roman" w:hAnsi="Times New Roman"/>
          <w:b/>
          <w:i/>
          <w:u w:val="single"/>
        </w:rPr>
      </w:pPr>
      <w:r w:rsidRPr="005A236F">
        <w:rPr>
          <w:rFonts w:ascii="Times New Roman" w:hAnsi="Times New Roman"/>
          <w:b/>
          <w:i/>
          <w:iCs/>
          <w:u w:val="single"/>
        </w:rPr>
        <w:t>Non-endorsement of products discussed/displayed in conjunction with this activity:</w:t>
      </w:r>
    </w:p>
    <w:p w:rsidR="00B30348" w:rsidRPr="008E7ACD" w:rsidRDefault="00B30348" w:rsidP="00B30348">
      <w:pPr>
        <w:pStyle w:val="ListParagraph"/>
        <w:tabs>
          <w:tab w:val="left" w:pos="-540"/>
          <w:tab w:val="left" w:pos="-180"/>
        </w:tabs>
        <w:spacing w:after="120" w:line="216" w:lineRule="auto"/>
        <w:ind w:left="-274" w:right="-86"/>
        <w:rPr>
          <w:rFonts w:ascii="Times New Roman" w:hAnsi="Times New Roman"/>
          <w:b/>
        </w:rPr>
      </w:pPr>
      <w:r w:rsidRPr="008E7ACD">
        <w:rPr>
          <w:rFonts w:ascii="Times New Roman" w:hAnsi="Times New Roman"/>
        </w:rPr>
        <w:t>As an Accredited Provider of Continuing Education (CE) Credits for Health Education (CHES), Nursing (CNE), Medicine (CME), and Public Health (CPH) the American Public Health Association Learning and Professional Development Programs (LPDP) Unit and its respective Continuing Education accrediting organizations do not endorse any products or services that are displayed or referred to in conjunction with this activity and are not responsible for the actual presentation of content during scientific sessions.</w:t>
      </w:r>
      <w:r w:rsidRPr="008E7ACD">
        <w:rPr>
          <w:rFonts w:ascii="Times New Roman" w:hAnsi="Times New Roman"/>
          <w:b/>
        </w:rPr>
        <w:t xml:space="preserve">  </w:t>
      </w:r>
    </w:p>
    <w:p w:rsidR="00B30348" w:rsidRPr="005A236F" w:rsidRDefault="00B30348" w:rsidP="00F95828">
      <w:pPr>
        <w:pStyle w:val="ListParagraph"/>
        <w:tabs>
          <w:tab w:val="left" w:pos="-540"/>
          <w:tab w:val="left" w:pos="-180"/>
        </w:tabs>
        <w:spacing w:after="120" w:line="216" w:lineRule="auto"/>
        <w:ind w:left="-274" w:right="-86"/>
        <w:rPr>
          <w:rFonts w:ascii="Times New Roman" w:hAnsi="Times New Roman"/>
          <w:b/>
          <w:i/>
          <w:u w:val="single"/>
        </w:rPr>
      </w:pPr>
      <w:r w:rsidRPr="005A236F">
        <w:rPr>
          <w:rFonts w:ascii="Times New Roman" w:hAnsi="Times New Roman"/>
          <w:b/>
          <w:i/>
          <w:iCs/>
          <w:u w:val="single"/>
        </w:rPr>
        <w:t>Policy on Disclosures to Learners</w:t>
      </w:r>
    </w:p>
    <w:p w:rsidR="00B30348" w:rsidRPr="008E7ACD" w:rsidRDefault="00B30348" w:rsidP="00B30348">
      <w:pPr>
        <w:pStyle w:val="ListParagraph"/>
        <w:tabs>
          <w:tab w:val="left" w:pos="-540"/>
          <w:tab w:val="left" w:pos="-180"/>
        </w:tabs>
        <w:spacing w:after="120" w:line="216" w:lineRule="auto"/>
        <w:ind w:left="-274" w:right="-86"/>
        <w:rPr>
          <w:rFonts w:ascii="Times New Roman" w:hAnsi="Times New Roman" w:cs="Times New Roman"/>
        </w:rPr>
      </w:pPr>
      <w:r w:rsidRPr="008E7ACD">
        <w:rPr>
          <w:rFonts w:ascii="Times New Roman" w:hAnsi="Times New Roman" w:cs="Times New Roman"/>
          <w:bCs/>
        </w:rPr>
        <w:t xml:space="preserve">The </w:t>
      </w:r>
      <w:r w:rsidR="00F95828">
        <w:rPr>
          <w:rFonts w:ascii="Times New Roman" w:hAnsi="Times New Roman" w:cs="Times New Roman"/>
          <w:bCs/>
        </w:rPr>
        <w:t>American Public Health Association</w:t>
      </w:r>
      <w:r w:rsidRPr="008E7ACD">
        <w:rPr>
          <w:rFonts w:ascii="Times New Roman" w:hAnsi="Times New Roman" w:cs="Times New Roman"/>
          <w:bCs/>
        </w:rPr>
        <w:t xml:space="preserve"> strives to ensure balance, independence, objectivity and scientific rigor in all of its educational programs.  All planners, faculty members, moderators, discussants, panelist and presenters participating in this program have been required to disclose any real or apparent conflict(s) of interest that may have a direct bearing on the subject matter of this program.  This includes relationships with pharmaceutical companies, biomedical device manufacturers or other corporations whose products or services are related to the subject matter of the presentation topic.  The intent of this policy is to identify openly any conflict of interest so that the attendees may form their own judgments about the presentation with full disclosure of the facts.  In addition, faculty is expected to openly disclose any off-label, experimental and/or investigational uses of drugs or devices in their presentation. </w:t>
      </w:r>
      <w:r w:rsidRPr="008E7ACD">
        <w:rPr>
          <w:rFonts w:ascii="Times New Roman" w:hAnsi="Times New Roman" w:cs="Times New Roman"/>
          <w:b/>
          <w:bCs/>
        </w:rPr>
        <w:t xml:space="preserve"> </w:t>
      </w:r>
      <w:r w:rsidRPr="008E7ACD">
        <w:rPr>
          <w:rFonts w:ascii="Times New Roman" w:hAnsi="Times New Roman" w:cs="Times New Roman"/>
        </w:rPr>
        <w:t xml:space="preserve">Disclosures, Conflict of Interest (COI) and Resolution of COI policies are available via the </w:t>
      </w:r>
      <w:r w:rsidR="00F95828">
        <w:rPr>
          <w:rFonts w:ascii="Times New Roman" w:hAnsi="Times New Roman" w:cs="Times New Roman"/>
        </w:rPr>
        <w:t>www.apha.org</w:t>
      </w:r>
      <w:r w:rsidRPr="008E7ACD">
        <w:rPr>
          <w:rFonts w:ascii="Times New Roman" w:hAnsi="Times New Roman" w:cs="Times New Roman"/>
        </w:rPr>
        <w:t xml:space="preserve"> website</w:t>
      </w:r>
      <w:r w:rsidR="00F95828">
        <w:rPr>
          <w:rFonts w:ascii="Times New Roman" w:hAnsi="Times New Roman" w:cs="Times New Roman"/>
        </w:rPr>
        <w:t>.</w:t>
      </w:r>
      <w:r w:rsidRPr="008E7ACD">
        <w:rPr>
          <w:rFonts w:ascii="Times New Roman" w:hAnsi="Times New Roman" w:cs="Times New Roman"/>
        </w:rPr>
        <w:br/>
      </w:r>
    </w:p>
    <w:p w:rsidR="00B30348" w:rsidRPr="005A236F" w:rsidRDefault="00B30348" w:rsidP="00F95828">
      <w:pPr>
        <w:pStyle w:val="ListParagraph"/>
        <w:tabs>
          <w:tab w:val="left" w:pos="-540"/>
          <w:tab w:val="left" w:pos="-180"/>
        </w:tabs>
        <w:spacing w:after="120" w:line="216" w:lineRule="auto"/>
        <w:ind w:left="-274" w:right="-86"/>
        <w:rPr>
          <w:rFonts w:ascii="Times New Roman" w:hAnsi="Times New Roman"/>
          <w:b/>
          <w:i/>
          <w:u w:val="single"/>
        </w:rPr>
      </w:pPr>
      <w:r w:rsidRPr="005A236F">
        <w:rPr>
          <w:rFonts w:ascii="Times New Roman" w:hAnsi="Times New Roman"/>
          <w:b/>
          <w:i/>
          <w:iCs/>
          <w:u w:val="single"/>
        </w:rPr>
        <w:t>Accreditation statements</w:t>
      </w:r>
      <w:r w:rsidR="00F95828">
        <w:rPr>
          <w:rFonts w:ascii="Times New Roman" w:hAnsi="Times New Roman"/>
          <w:b/>
          <w:i/>
          <w:iCs/>
          <w:u w:val="single"/>
        </w:rPr>
        <w:t xml:space="preserve"> </w:t>
      </w:r>
    </w:p>
    <w:p w:rsidR="00B30348" w:rsidRPr="00B67323" w:rsidRDefault="00B30348" w:rsidP="00B30348">
      <w:pPr>
        <w:pStyle w:val="NormalWeb"/>
        <w:spacing w:before="0" w:beforeAutospacing="0" w:after="0" w:afterAutospacing="0"/>
        <w:ind w:left="-274"/>
        <w:rPr>
          <w:rFonts w:asciiTheme="majorBidi" w:hAnsiTheme="majorBidi" w:cstheme="majorBidi"/>
          <w:b/>
          <w:bCs/>
          <w:szCs w:val="20"/>
        </w:rPr>
      </w:pPr>
      <w:r>
        <w:rPr>
          <w:rFonts w:asciiTheme="majorBidi" w:hAnsiTheme="majorBidi" w:cstheme="majorBidi"/>
          <w:b/>
          <w:bCs/>
          <w:szCs w:val="20"/>
        </w:rPr>
        <w:t xml:space="preserve">Medicine (CME) </w:t>
      </w:r>
      <w:r w:rsidRPr="00B67323">
        <w:rPr>
          <w:rFonts w:asciiTheme="majorBidi" w:hAnsiTheme="majorBidi" w:cstheme="majorBidi"/>
          <w:b/>
          <w:bCs/>
          <w:szCs w:val="20"/>
        </w:rPr>
        <w:t>Accreditation Statement</w:t>
      </w:r>
    </w:p>
    <w:p w:rsidR="00B30348" w:rsidRDefault="00B30348" w:rsidP="00B30348">
      <w:pPr>
        <w:pStyle w:val="ListParagraph"/>
        <w:spacing w:after="0" w:line="245" w:lineRule="atLeast"/>
        <w:ind w:left="-274"/>
        <w:rPr>
          <w:rFonts w:asciiTheme="majorBidi" w:hAnsiTheme="majorBidi" w:cstheme="majorBidi"/>
          <w:sz w:val="20"/>
          <w:szCs w:val="20"/>
        </w:rPr>
      </w:pPr>
      <w:r w:rsidRPr="006A0A1D">
        <w:rPr>
          <w:rFonts w:asciiTheme="majorBidi" w:hAnsiTheme="majorBidi" w:cstheme="majorBidi"/>
          <w:sz w:val="20"/>
          <w:szCs w:val="20"/>
        </w:rPr>
        <w:t>The A</w:t>
      </w:r>
      <w:r>
        <w:rPr>
          <w:rFonts w:asciiTheme="majorBidi" w:hAnsiTheme="majorBidi" w:cstheme="majorBidi"/>
          <w:sz w:val="20"/>
          <w:szCs w:val="20"/>
        </w:rPr>
        <w:t>merican Public Health Association is</w:t>
      </w:r>
      <w:r w:rsidRPr="006A0A1D">
        <w:rPr>
          <w:rFonts w:asciiTheme="majorBidi" w:hAnsiTheme="majorBidi" w:cstheme="majorBidi"/>
          <w:sz w:val="20"/>
          <w:szCs w:val="20"/>
        </w:rPr>
        <w:t xml:space="preserve"> accredited by the A</w:t>
      </w:r>
      <w:r>
        <w:rPr>
          <w:rFonts w:asciiTheme="majorBidi" w:hAnsiTheme="majorBidi" w:cstheme="majorBidi"/>
          <w:sz w:val="20"/>
          <w:szCs w:val="20"/>
        </w:rPr>
        <w:t xml:space="preserve">ccreditation Council for Continuing Medical Education </w:t>
      </w:r>
      <w:r w:rsidRPr="006A0A1D">
        <w:rPr>
          <w:rFonts w:asciiTheme="majorBidi" w:hAnsiTheme="majorBidi" w:cstheme="majorBidi"/>
          <w:sz w:val="20"/>
          <w:szCs w:val="20"/>
        </w:rPr>
        <w:t xml:space="preserve">to provide continuing medical education for physicians.  </w:t>
      </w:r>
    </w:p>
    <w:p w:rsidR="00B30348" w:rsidRPr="006A0A1D" w:rsidRDefault="00B30348" w:rsidP="00B30348">
      <w:pPr>
        <w:pStyle w:val="ListParagraph"/>
        <w:spacing w:after="0" w:line="245" w:lineRule="atLeast"/>
        <w:ind w:left="-274"/>
        <w:rPr>
          <w:rFonts w:asciiTheme="majorBidi" w:hAnsiTheme="majorBidi" w:cstheme="majorBidi"/>
          <w:sz w:val="20"/>
          <w:szCs w:val="20"/>
        </w:rPr>
      </w:pPr>
      <w:r w:rsidRPr="00D81D25">
        <w:rPr>
          <w:rFonts w:asciiTheme="majorBidi" w:hAnsiTheme="majorBidi" w:cstheme="majorBidi"/>
          <w:b/>
          <w:sz w:val="20"/>
          <w:szCs w:val="20"/>
        </w:rPr>
        <w:t>Designation Statement</w:t>
      </w:r>
      <w:r>
        <w:rPr>
          <w:rFonts w:asciiTheme="majorBidi" w:hAnsiTheme="majorBidi" w:cstheme="majorBidi"/>
          <w:sz w:val="20"/>
          <w:szCs w:val="20"/>
        </w:rPr>
        <w:t xml:space="preserve">: </w:t>
      </w:r>
      <w:r w:rsidRPr="006A0A1D">
        <w:rPr>
          <w:rFonts w:asciiTheme="majorBidi" w:hAnsiTheme="majorBidi" w:cstheme="majorBidi"/>
          <w:sz w:val="20"/>
          <w:szCs w:val="20"/>
        </w:rPr>
        <w:t>The APHA designates this</w:t>
      </w:r>
      <w:r>
        <w:rPr>
          <w:rFonts w:asciiTheme="majorBidi" w:hAnsiTheme="majorBidi" w:cstheme="majorBidi"/>
          <w:sz w:val="20"/>
          <w:szCs w:val="20"/>
        </w:rPr>
        <w:t xml:space="preserve"> live web-based ed</w:t>
      </w:r>
      <w:r w:rsidRPr="006A0A1D">
        <w:rPr>
          <w:rFonts w:asciiTheme="majorBidi" w:hAnsiTheme="majorBidi" w:cstheme="majorBidi"/>
          <w:sz w:val="20"/>
          <w:szCs w:val="20"/>
        </w:rPr>
        <w:t xml:space="preserve">ucational activity for a maximum of </w:t>
      </w:r>
      <w:r w:rsidRPr="00B30348">
        <w:rPr>
          <w:rFonts w:asciiTheme="majorBidi" w:hAnsiTheme="majorBidi" w:cstheme="majorBidi"/>
          <w:b/>
          <w:sz w:val="20"/>
          <w:szCs w:val="20"/>
        </w:rPr>
        <w:t>1.5</w:t>
      </w:r>
      <w:r>
        <w:rPr>
          <w:rFonts w:asciiTheme="majorBidi" w:hAnsiTheme="majorBidi" w:cstheme="majorBidi"/>
          <w:i/>
          <w:iCs/>
          <w:sz w:val="20"/>
          <w:szCs w:val="20"/>
        </w:rPr>
        <w:t xml:space="preserve"> </w:t>
      </w:r>
      <w:r w:rsidRPr="006A0A1D">
        <w:rPr>
          <w:rFonts w:asciiTheme="majorBidi" w:hAnsiTheme="majorBidi" w:cstheme="majorBidi"/>
          <w:i/>
          <w:iCs/>
          <w:sz w:val="20"/>
          <w:szCs w:val="20"/>
        </w:rPr>
        <w:t>AMA PRA Category 1 Credit (s</w:t>
      </w:r>
      <w:proofErr w:type="gramStart"/>
      <w:r w:rsidRPr="006A0A1D">
        <w:rPr>
          <w:rFonts w:asciiTheme="majorBidi" w:hAnsiTheme="majorBidi" w:cstheme="majorBidi"/>
          <w:i/>
          <w:iCs/>
          <w:sz w:val="20"/>
          <w:szCs w:val="20"/>
        </w:rPr>
        <w:t>)</w:t>
      </w:r>
      <w:r w:rsidRPr="006A0A1D">
        <w:rPr>
          <w:rFonts w:asciiTheme="majorBidi" w:hAnsiTheme="majorBidi" w:cstheme="majorBidi"/>
          <w:i/>
          <w:iCs/>
          <w:sz w:val="20"/>
          <w:szCs w:val="20"/>
          <w:vertAlign w:val="superscript"/>
        </w:rPr>
        <w:t>™</w:t>
      </w:r>
      <w:proofErr w:type="gramEnd"/>
      <w:r w:rsidRPr="006A0A1D">
        <w:rPr>
          <w:rFonts w:asciiTheme="majorBidi" w:hAnsiTheme="majorBidi" w:cstheme="majorBidi"/>
          <w:i/>
          <w:iCs/>
          <w:sz w:val="20"/>
          <w:szCs w:val="20"/>
        </w:rPr>
        <w:t>.</w:t>
      </w:r>
      <w:r w:rsidRPr="006A0A1D">
        <w:rPr>
          <w:rFonts w:asciiTheme="majorBidi" w:hAnsiTheme="majorBidi" w:cstheme="majorBidi"/>
          <w:sz w:val="20"/>
          <w:szCs w:val="20"/>
        </w:rPr>
        <w:t xml:space="preserve">    </w:t>
      </w:r>
    </w:p>
    <w:p w:rsidR="00B30348" w:rsidRPr="006A0A1D" w:rsidRDefault="00B30348" w:rsidP="00B30348">
      <w:pPr>
        <w:pStyle w:val="ListParagraph"/>
        <w:spacing w:after="0" w:line="245" w:lineRule="atLeast"/>
        <w:ind w:left="-274"/>
        <w:rPr>
          <w:rFonts w:asciiTheme="majorBidi" w:hAnsiTheme="majorBidi" w:cstheme="majorBidi"/>
          <w:b/>
          <w:bCs/>
          <w:sz w:val="20"/>
          <w:szCs w:val="20"/>
        </w:rPr>
      </w:pPr>
    </w:p>
    <w:p w:rsidR="00B30348" w:rsidRPr="006A0A1D" w:rsidRDefault="00B30348" w:rsidP="00B30348">
      <w:pPr>
        <w:pStyle w:val="ListParagraph"/>
        <w:spacing w:after="0" w:line="245" w:lineRule="atLeast"/>
        <w:ind w:left="-274"/>
        <w:rPr>
          <w:rFonts w:asciiTheme="majorBidi" w:hAnsiTheme="majorBidi" w:cstheme="majorBidi"/>
          <w:b/>
          <w:bCs/>
          <w:sz w:val="20"/>
          <w:szCs w:val="20"/>
        </w:rPr>
      </w:pPr>
      <w:r>
        <w:rPr>
          <w:rFonts w:asciiTheme="majorBidi" w:hAnsiTheme="majorBidi" w:cstheme="majorBidi"/>
          <w:b/>
          <w:bCs/>
          <w:sz w:val="20"/>
          <w:szCs w:val="20"/>
        </w:rPr>
        <w:t xml:space="preserve">Nursing (CNE) </w:t>
      </w:r>
      <w:r w:rsidRPr="006A0A1D">
        <w:rPr>
          <w:rFonts w:asciiTheme="majorBidi" w:hAnsiTheme="majorBidi" w:cstheme="majorBidi"/>
          <w:b/>
          <w:bCs/>
          <w:sz w:val="20"/>
          <w:szCs w:val="20"/>
        </w:rPr>
        <w:t>Accreditation Statement</w:t>
      </w:r>
    </w:p>
    <w:p w:rsidR="00B30348" w:rsidRDefault="00B30348" w:rsidP="00B30348">
      <w:pPr>
        <w:pStyle w:val="ListParagraph"/>
        <w:spacing w:after="0" w:line="245" w:lineRule="atLeast"/>
        <w:ind w:left="-274"/>
        <w:rPr>
          <w:rFonts w:asciiTheme="majorBidi" w:hAnsiTheme="majorBidi" w:cstheme="majorBidi"/>
          <w:sz w:val="20"/>
          <w:szCs w:val="20"/>
        </w:rPr>
      </w:pPr>
      <w:r w:rsidRPr="00296F67">
        <w:rPr>
          <w:rFonts w:asciiTheme="majorBidi" w:hAnsiTheme="majorBidi" w:cstheme="majorBidi"/>
          <w:sz w:val="20"/>
          <w:szCs w:val="20"/>
        </w:rPr>
        <w:t>The APHA/PHN Section is accredited as a provider of continuing nursing education by the American Nurses Credent</w:t>
      </w:r>
      <w:r>
        <w:rPr>
          <w:rFonts w:asciiTheme="majorBidi" w:hAnsiTheme="majorBidi" w:cstheme="majorBidi"/>
          <w:sz w:val="20"/>
          <w:szCs w:val="20"/>
        </w:rPr>
        <w:t>ialing</w:t>
      </w:r>
      <w:r w:rsidRPr="00296F67">
        <w:rPr>
          <w:rFonts w:asciiTheme="majorBidi" w:hAnsiTheme="majorBidi" w:cstheme="majorBidi"/>
          <w:sz w:val="20"/>
          <w:szCs w:val="20"/>
        </w:rPr>
        <w:t xml:space="preserve"> Center’s Commission on Accreditation</w:t>
      </w:r>
      <w:r>
        <w:rPr>
          <w:rFonts w:asciiTheme="majorBidi" w:hAnsiTheme="majorBidi" w:cstheme="majorBidi"/>
          <w:sz w:val="20"/>
          <w:szCs w:val="20"/>
        </w:rPr>
        <w:t>.</w:t>
      </w:r>
    </w:p>
    <w:p w:rsidR="00B30348" w:rsidRDefault="00B30348" w:rsidP="00B30348">
      <w:pPr>
        <w:pStyle w:val="ListParagraph"/>
        <w:spacing w:after="0" w:line="245" w:lineRule="atLeast"/>
        <w:ind w:left="-274"/>
        <w:rPr>
          <w:rFonts w:asciiTheme="majorBidi" w:hAnsiTheme="majorBidi" w:cstheme="majorBidi"/>
          <w:sz w:val="20"/>
          <w:szCs w:val="20"/>
        </w:rPr>
      </w:pPr>
    </w:p>
    <w:p w:rsidR="00B30348" w:rsidRPr="00296F67" w:rsidRDefault="00B30348" w:rsidP="00B30348">
      <w:pPr>
        <w:pStyle w:val="ListParagraph"/>
        <w:spacing w:after="0" w:line="245" w:lineRule="atLeast"/>
        <w:ind w:left="-274"/>
        <w:rPr>
          <w:rFonts w:asciiTheme="majorBidi" w:hAnsiTheme="majorBidi" w:cstheme="majorBidi"/>
          <w:sz w:val="20"/>
          <w:szCs w:val="20"/>
        </w:rPr>
      </w:pPr>
      <w:r>
        <w:rPr>
          <w:rFonts w:asciiTheme="majorBidi" w:hAnsiTheme="majorBidi" w:cstheme="majorBidi"/>
          <w:sz w:val="20"/>
          <w:szCs w:val="20"/>
        </w:rPr>
        <w:t>This live web-based activity is designated for 1.5 contact hours.</w:t>
      </w:r>
    </w:p>
    <w:p w:rsidR="00B30348" w:rsidRDefault="00B30348" w:rsidP="00B30348">
      <w:pPr>
        <w:pStyle w:val="ListParagraph"/>
        <w:spacing w:after="0" w:line="245" w:lineRule="atLeast"/>
        <w:ind w:left="-274"/>
        <w:rPr>
          <w:rFonts w:asciiTheme="majorBidi" w:hAnsiTheme="majorBidi" w:cstheme="majorBidi"/>
          <w:b/>
          <w:sz w:val="20"/>
          <w:szCs w:val="20"/>
        </w:rPr>
      </w:pPr>
    </w:p>
    <w:p w:rsidR="00B30348" w:rsidRDefault="00B30348" w:rsidP="00B30348">
      <w:pPr>
        <w:pStyle w:val="ListParagraph"/>
        <w:spacing w:after="0" w:line="245" w:lineRule="atLeast"/>
        <w:ind w:left="-274"/>
        <w:rPr>
          <w:rFonts w:ascii="Times New Roman" w:hAnsi="Times New Roman"/>
          <w:bCs/>
        </w:rPr>
      </w:pPr>
      <w:r w:rsidRPr="006A0A1D">
        <w:rPr>
          <w:rFonts w:asciiTheme="majorBidi" w:hAnsiTheme="majorBidi" w:cstheme="majorBidi"/>
          <w:b/>
          <w:sz w:val="20"/>
          <w:szCs w:val="20"/>
        </w:rPr>
        <w:t>Health Education (CHES) Statement</w:t>
      </w:r>
      <w:r w:rsidRPr="006A0A1D">
        <w:rPr>
          <w:rFonts w:asciiTheme="majorBidi" w:hAnsiTheme="majorBidi" w:cstheme="majorBidi"/>
          <w:b/>
          <w:sz w:val="20"/>
          <w:szCs w:val="20"/>
        </w:rPr>
        <w:br/>
      </w:r>
      <w:r w:rsidRPr="00410776">
        <w:rPr>
          <w:rFonts w:ascii="Times New Roman" w:hAnsi="Times New Roman"/>
          <w:bCs/>
        </w:rPr>
        <w:t xml:space="preserve">The American Public Health Association is accredited by the National Commission for Health Education Credentialing, Inc. to sponsor continuing education for Certified Health Education Specialists (CHES).  This program is a designated event for the CHES to receive up to </w:t>
      </w:r>
      <w:r>
        <w:rPr>
          <w:rFonts w:ascii="Times New Roman" w:hAnsi="Times New Roman"/>
          <w:bCs/>
        </w:rPr>
        <w:t>1.5</w:t>
      </w:r>
      <w:r w:rsidRPr="00410776">
        <w:rPr>
          <w:rFonts w:ascii="Times New Roman" w:hAnsi="Times New Roman"/>
          <w:bCs/>
        </w:rPr>
        <w:t xml:space="preserve"> Category I CE contact hours (CHEC).</w:t>
      </w:r>
    </w:p>
    <w:p w:rsidR="00B30348" w:rsidRPr="00296F67" w:rsidRDefault="00B30348" w:rsidP="00B30348">
      <w:pPr>
        <w:pStyle w:val="ListParagraph"/>
        <w:spacing w:after="0" w:line="245" w:lineRule="atLeast"/>
        <w:ind w:left="-274"/>
        <w:rPr>
          <w:rFonts w:ascii="Times New Roman" w:hAnsi="Times New Roman"/>
          <w:bCs/>
        </w:rPr>
      </w:pPr>
      <w:r>
        <w:rPr>
          <w:rFonts w:asciiTheme="majorBidi" w:hAnsiTheme="majorBidi" w:cstheme="majorBidi"/>
          <w:b/>
          <w:sz w:val="20"/>
          <w:szCs w:val="20"/>
        </w:rPr>
        <w:br/>
        <w:t>Certified in Public Health (CPH) Statement</w:t>
      </w:r>
      <w:r>
        <w:rPr>
          <w:rFonts w:asciiTheme="majorBidi" w:hAnsiTheme="majorBidi" w:cstheme="majorBidi"/>
          <w:b/>
          <w:sz w:val="20"/>
          <w:szCs w:val="20"/>
        </w:rPr>
        <w:br/>
      </w:r>
      <w:r>
        <w:rPr>
          <w:rFonts w:asciiTheme="majorBidi" w:hAnsiTheme="majorBidi" w:cstheme="majorBidi"/>
          <w:sz w:val="20"/>
          <w:szCs w:val="20"/>
        </w:rPr>
        <w:t>The American Public Health Association is accredited as an approved provider of Certified in Public Health Continuing Education by the National Board of Public Health Examiners.  This live web-based activity is designated for 1.5 credit hours.</w:t>
      </w:r>
    </w:p>
    <w:p w:rsidR="00B30348" w:rsidRPr="006A0A1D" w:rsidRDefault="00B30348" w:rsidP="00B30348">
      <w:pPr>
        <w:tabs>
          <w:tab w:val="left" w:pos="-540"/>
          <w:tab w:val="left" w:pos="-180"/>
        </w:tabs>
        <w:spacing w:after="120" w:line="216" w:lineRule="auto"/>
        <w:ind w:right="-86"/>
        <w:rPr>
          <w:rFonts w:ascii="Times New Roman" w:hAnsi="Times New Roman"/>
        </w:rPr>
      </w:pPr>
    </w:p>
    <w:p w:rsidR="00B30348" w:rsidRPr="005A236F" w:rsidRDefault="00B30348" w:rsidP="00B30348">
      <w:pPr>
        <w:pStyle w:val="ListParagraph"/>
        <w:numPr>
          <w:ilvl w:val="0"/>
          <w:numId w:val="1"/>
        </w:numPr>
        <w:tabs>
          <w:tab w:val="left" w:pos="-540"/>
          <w:tab w:val="left" w:pos="-180"/>
        </w:tabs>
        <w:spacing w:after="120" w:line="216" w:lineRule="auto"/>
        <w:ind w:right="-86"/>
        <w:rPr>
          <w:rFonts w:ascii="Times New Roman" w:hAnsi="Times New Roman"/>
          <w:b/>
          <w:i/>
          <w:u w:val="single"/>
        </w:rPr>
      </w:pPr>
      <w:r w:rsidRPr="005A236F">
        <w:rPr>
          <w:rFonts w:ascii="Times New Roman" w:hAnsi="Times New Roman"/>
          <w:b/>
          <w:i/>
          <w:u w:val="single"/>
        </w:rPr>
        <w:t>Instructions on how to obtain credit</w:t>
      </w:r>
    </w:p>
    <w:p w:rsidR="00D53AC0" w:rsidRDefault="00B30348" w:rsidP="00D53AC0">
      <w:pPr>
        <w:pStyle w:val="ListParagraph"/>
        <w:tabs>
          <w:tab w:val="left" w:pos="-540"/>
          <w:tab w:val="left" w:pos="-180"/>
        </w:tabs>
        <w:spacing w:after="120" w:line="216" w:lineRule="auto"/>
        <w:ind w:left="-274" w:right="-86"/>
        <w:rPr>
          <w:rFonts w:asciiTheme="majorBidi" w:hAnsiTheme="majorBidi" w:cstheme="majorBidi"/>
          <w:sz w:val="20"/>
          <w:szCs w:val="20"/>
        </w:rPr>
      </w:pPr>
      <w:r w:rsidRPr="00AF668F">
        <w:rPr>
          <w:rFonts w:asciiTheme="majorBidi" w:hAnsiTheme="majorBidi" w:cstheme="majorBidi"/>
          <w:b/>
          <w:bCs/>
          <w:sz w:val="20"/>
          <w:szCs w:val="20"/>
        </w:rPr>
        <w:t>How to Obtain CE Credit</w:t>
      </w:r>
      <w:r>
        <w:rPr>
          <w:rFonts w:asciiTheme="majorBidi" w:hAnsiTheme="majorBidi" w:cstheme="majorBidi"/>
          <w:b/>
          <w:bCs/>
          <w:sz w:val="20"/>
          <w:szCs w:val="20"/>
        </w:rPr>
        <w:br/>
      </w:r>
      <w:r w:rsidRPr="00AF668F">
        <w:rPr>
          <w:rFonts w:asciiTheme="majorBidi" w:hAnsiTheme="majorBidi" w:cstheme="majorBidi"/>
          <w:sz w:val="20"/>
          <w:szCs w:val="20"/>
        </w:rPr>
        <w:t xml:space="preserve">Participants must attend the entire Web conference and complete the evaluation online in order to earn credit hours and obtain a CE certificate.  A link to the online evaluation system will be sent to </w:t>
      </w:r>
      <w:r>
        <w:rPr>
          <w:rFonts w:asciiTheme="majorBidi" w:hAnsiTheme="majorBidi" w:cstheme="majorBidi"/>
          <w:sz w:val="20"/>
          <w:szCs w:val="20"/>
        </w:rPr>
        <w:t xml:space="preserve">all registered </w:t>
      </w:r>
      <w:r w:rsidRPr="00AF668F">
        <w:rPr>
          <w:rFonts w:asciiTheme="majorBidi" w:hAnsiTheme="majorBidi" w:cstheme="majorBidi"/>
          <w:sz w:val="20"/>
          <w:szCs w:val="20"/>
        </w:rPr>
        <w:t>participants who attend the</w:t>
      </w:r>
      <w:r>
        <w:rPr>
          <w:rFonts w:asciiTheme="majorBidi" w:hAnsiTheme="majorBidi" w:cstheme="majorBidi"/>
          <w:sz w:val="20"/>
          <w:szCs w:val="20"/>
        </w:rPr>
        <w:t xml:space="preserve"> activity that will contain instructions and a personal ID number for access to the system.  All online evaluations must be submitted by </w:t>
      </w:r>
      <w:r>
        <w:rPr>
          <w:rFonts w:asciiTheme="majorBidi" w:hAnsiTheme="majorBidi" w:cstheme="majorBidi"/>
          <w:b/>
          <w:sz w:val="20"/>
          <w:szCs w:val="20"/>
          <w:u w:val="single"/>
        </w:rPr>
        <w:t>June 26, 2015</w:t>
      </w:r>
      <w:r>
        <w:rPr>
          <w:rFonts w:asciiTheme="majorBidi" w:hAnsiTheme="majorBidi" w:cstheme="majorBidi"/>
          <w:sz w:val="20"/>
          <w:szCs w:val="20"/>
        </w:rPr>
        <w:t xml:space="preserve"> to receive continuing education credit for this activity.</w:t>
      </w:r>
      <w:r w:rsidR="00D53AC0">
        <w:rPr>
          <w:rFonts w:asciiTheme="majorBidi" w:hAnsiTheme="majorBidi" w:cstheme="majorBidi"/>
          <w:sz w:val="20"/>
          <w:szCs w:val="20"/>
        </w:rPr>
        <w:br/>
      </w:r>
    </w:p>
    <w:p w:rsidR="00D53AC0" w:rsidRPr="00D53AC0" w:rsidRDefault="00D53AC0" w:rsidP="00D53AC0">
      <w:pPr>
        <w:pStyle w:val="ListParagraph"/>
        <w:tabs>
          <w:tab w:val="left" w:pos="-540"/>
          <w:tab w:val="left" w:pos="-180"/>
        </w:tabs>
        <w:spacing w:after="120" w:line="216" w:lineRule="auto"/>
        <w:ind w:left="-274" w:right="-86"/>
        <w:rPr>
          <w:rFonts w:asciiTheme="majorBidi" w:hAnsiTheme="majorBidi" w:cstheme="majorBidi"/>
          <w:sz w:val="20"/>
          <w:szCs w:val="20"/>
        </w:rPr>
      </w:pPr>
      <w:r>
        <w:rPr>
          <w:rFonts w:asciiTheme="majorBidi" w:hAnsiTheme="majorBidi" w:cstheme="majorBidi"/>
          <w:b/>
          <w:bCs/>
          <w:sz w:val="20"/>
          <w:szCs w:val="20"/>
        </w:rPr>
        <w:t>Planners (Live activity):  Wendy Braund, MD</w:t>
      </w:r>
      <w:r w:rsidR="00C35C79">
        <w:rPr>
          <w:rFonts w:asciiTheme="majorBidi" w:hAnsiTheme="majorBidi" w:cstheme="majorBidi"/>
          <w:b/>
          <w:bCs/>
          <w:sz w:val="20"/>
          <w:szCs w:val="20"/>
        </w:rPr>
        <w:t xml:space="preserve">, MPH, </w:t>
      </w:r>
      <w:proofErr w:type="spellStart"/>
      <w:r w:rsidR="00C35C79">
        <w:rPr>
          <w:rFonts w:asciiTheme="majorBidi" w:hAnsiTheme="majorBidi" w:cstheme="majorBidi"/>
          <w:b/>
          <w:bCs/>
          <w:sz w:val="20"/>
          <w:szCs w:val="20"/>
        </w:rPr>
        <w:t>MSEd</w:t>
      </w:r>
      <w:proofErr w:type="spellEnd"/>
      <w:r w:rsidR="00C35C79">
        <w:rPr>
          <w:rFonts w:asciiTheme="majorBidi" w:hAnsiTheme="majorBidi" w:cstheme="majorBidi"/>
          <w:b/>
          <w:bCs/>
          <w:sz w:val="20"/>
          <w:szCs w:val="20"/>
        </w:rPr>
        <w:t>, FACPM</w:t>
      </w:r>
      <w:r>
        <w:rPr>
          <w:rFonts w:asciiTheme="majorBidi" w:hAnsiTheme="majorBidi" w:cstheme="majorBidi"/>
          <w:b/>
          <w:bCs/>
          <w:sz w:val="20"/>
          <w:szCs w:val="20"/>
        </w:rPr>
        <w:t xml:space="preserve"> (CME)</w:t>
      </w:r>
      <w:r w:rsidR="00D97F1E">
        <w:rPr>
          <w:rFonts w:asciiTheme="majorBidi" w:hAnsiTheme="majorBidi" w:cstheme="majorBidi"/>
          <w:b/>
          <w:bCs/>
          <w:sz w:val="20"/>
          <w:szCs w:val="20"/>
        </w:rPr>
        <w:t>; Sonda</w:t>
      </w:r>
      <w:r>
        <w:rPr>
          <w:rFonts w:asciiTheme="majorBidi" w:hAnsiTheme="majorBidi" w:cstheme="majorBidi"/>
          <w:b/>
          <w:bCs/>
          <w:sz w:val="20"/>
          <w:szCs w:val="20"/>
        </w:rPr>
        <w:t xml:space="preserve"> Oppewal</w:t>
      </w:r>
      <w:r w:rsidR="00C35C79">
        <w:rPr>
          <w:rFonts w:asciiTheme="majorBidi" w:hAnsiTheme="majorBidi" w:cstheme="majorBidi"/>
          <w:b/>
          <w:bCs/>
          <w:sz w:val="20"/>
          <w:szCs w:val="20"/>
        </w:rPr>
        <w:t>, PhD, RN</w:t>
      </w:r>
      <w:r>
        <w:rPr>
          <w:rFonts w:asciiTheme="majorBidi" w:hAnsiTheme="majorBidi" w:cstheme="majorBidi"/>
          <w:b/>
          <w:bCs/>
          <w:sz w:val="20"/>
          <w:szCs w:val="20"/>
        </w:rPr>
        <w:t xml:space="preserve"> (CNE)</w:t>
      </w:r>
      <w:r w:rsidR="00D97F1E">
        <w:rPr>
          <w:rFonts w:asciiTheme="majorBidi" w:hAnsiTheme="majorBidi" w:cstheme="majorBidi"/>
          <w:b/>
          <w:bCs/>
          <w:sz w:val="20"/>
          <w:szCs w:val="20"/>
        </w:rPr>
        <w:t xml:space="preserve">; </w:t>
      </w:r>
      <w:r w:rsidR="00C35C79">
        <w:rPr>
          <w:rFonts w:asciiTheme="majorBidi" w:hAnsiTheme="majorBidi" w:cstheme="majorBidi"/>
          <w:b/>
          <w:bCs/>
          <w:sz w:val="20"/>
          <w:szCs w:val="20"/>
        </w:rPr>
        <w:t xml:space="preserve">Keiko Sakagami, </w:t>
      </w:r>
      <w:proofErr w:type="spellStart"/>
      <w:r w:rsidR="00C35C79">
        <w:rPr>
          <w:rFonts w:asciiTheme="majorBidi" w:hAnsiTheme="majorBidi" w:cstheme="majorBidi"/>
          <w:b/>
          <w:bCs/>
          <w:sz w:val="20"/>
          <w:szCs w:val="20"/>
        </w:rPr>
        <w:t>EdD</w:t>
      </w:r>
      <w:proofErr w:type="spellEnd"/>
      <w:r w:rsidR="00C35C79">
        <w:rPr>
          <w:rFonts w:asciiTheme="majorBidi" w:hAnsiTheme="majorBidi" w:cstheme="majorBidi"/>
          <w:b/>
          <w:bCs/>
          <w:sz w:val="20"/>
          <w:szCs w:val="20"/>
        </w:rPr>
        <w:t>, RDH, MCHES</w:t>
      </w:r>
      <w:r>
        <w:rPr>
          <w:rFonts w:asciiTheme="majorBidi" w:hAnsiTheme="majorBidi" w:cstheme="majorBidi"/>
          <w:b/>
          <w:bCs/>
          <w:sz w:val="20"/>
          <w:szCs w:val="20"/>
        </w:rPr>
        <w:t xml:space="preserve"> (CHES);  Amar Kanekar, </w:t>
      </w:r>
      <w:r w:rsidR="00C35C79">
        <w:rPr>
          <w:rFonts w:asciiTheme="majorBidi" w:hAnsiTheme="majorBidi" w:cstheme="majorBidi"/>
          <w:b/>
          <w:bCs/>
          <w:sz w:val="20"/>
          <w:szCs w:val="20"/>
        </w:rPr>
        <w:t xml:space="preserve">MB, BS, MPH, </w:t>
      </w:r>
      <w:r w:rsidR="001D2D85">
        <w:rPr>
          <w:rFonts w:asciiTheme="majorBidi" w:hAnsiTheme="majorBidi" w:cstheme="majorBidi"/>
          <w:b/>
          <w:bCs/>
          <w:sz w:val="20"/>
          <w:szCs w:val="20"/>
        </w:rPr>
        <w:t>PhD</w:t>
      </w:r>
      <w:r w:rsidR="00C35C79">
        <w:rPr>
          <w:rFonts w:asciiTheme="majorBidi" w:hAnsiTheme="majorBidi" w:cstheme="majorBidi"/>
          <w:b/>
          <w:bCs/>
          <w:sz w:val="20"/>
          <w:szCs w:val="20"/>
        </w:rPr>
        <w:t xml:space="preserve">, CPH </w:t>
      </w:r>
      <w:r>
        <w:rPr>
          <w:rFonts w:asciiTheme="majorBidi" w:hAnsiTheme="majorBidi" w:cstheme="majorBidi"/>
          <w:b/>
          <w:bCs/>
          <w:sz w:val="20"/>
          <w:szCs w:val="20"/>
        </w:rPr>
        <w:t>(CPH)</w:t>
      </w:r>
      <w:r w:rsidR="00C35C79">
        <w:rPr>
          <w:rFonts w:asciiTheme="majorBidi" w:hAnsiTheme="majorBidi" w:cstheme="majorBidi"/>
          <w:b/>
          <w:bCs/>
          <w:sz w:val="20"/>
          <w:szCs w:val="20"/>
        </w:rPr>
        <w:t>; Mighty Fine, MPH, CHES; Sandra Bro</w:t>
      </w:r>
      <w:r w:rsidR="001D2D85">
        <w:rPr>
          <w:rFonts w:asciiTheme="majorBidi" w:hAnsiTheme="majorBidi" w:cstheme="majorBidi"/>
          <w:b/>
          <w:bCs/>
          <w:sz w:val="20"/>
          <w:szCs w:val="20"/>
        </w:rPr>
        <w:t>oks, MD, MBA</w:t>
      </w:r>
    </w:p>
    <w:p w:rsidR="00994E24" w:rsidRDefault="00994E24"/>
    <w:sectPr w:rsidR="00994E24" w:rsidSect="00994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817B8"/>
    <w:multiLevelType w:val="hybridMultilevel"/>
    <w:tmpl w:val="F0D261A2"/>
    <w:lvl w:ilvl="0" w:tplc="C3287E8A">
      <w:start w:val="1"/>
      <w:numFmt w:val="decimal"/>
      <w:lvlText w:val="%1)"/>
      <w:lvlJc w:val="left"/>
      <w:pPr>
        <w:ind w:left="-274" w:hanging="360"/>
      </w:pPr>
      <w:rPr>
        <w:rFonts w:hint="default"/>
      </w:rPr>
    </w:lvl>
    <w:lvl w:ilvl="1" w:tplc="04090019">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348"/>
    <w:rsid w:val="001D2D85"/>
    <w:rsid w:val="00462439"/>
    <w:rsid w:val="004A067F"/>
    <w:rsid w:val="00994E24"/>
    <w:rsid w:val="00B30348"/>
    <w:rsid w:val="00C35C79"/>
    <w:rsid w:val="00CF4DBC"/>
    <w:rsid w:val="00D53AC0"/>
    <w:rsid w:val="00D97F1E"/>
    <w:rsid w:val="00E573D7"/>
    <w:rsid w:val="00F95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48"/>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48"/>
    <w:pPr>
      <w:ind w:left="720"/>
    </w:pPr>
    <w:rPr>
      <w:rFonts w:ascii="Calibri" w:eastAsia="Calibri" w:hAnsi="Calibri" w:cs="Arial"/>
    </w:rPr>
  </w:style>
  <w:style w:type="character" w:styleId="Strong">
    <w:name w:val="Strong"/>
    <w:basedOn w:val="DefaultParagraphFont"/>
    <w:uiPriority w:val="22"/>
    <w:qFormat/>
    <w:rsid w:val="00B30348"/>
    <w:rPr>
      <w:b/>
      <w:bCs/>
    </w:rPr>
  </w:style>
  <w:style w:type="paragraph" w:styleId="NormalWeb">
    <w:name w:val="Normal (Web)"/>
    <w:basedOn w:val="Normal"/>
    <w:uiPriority w:val="99"/>
    <w:rsid w:val="00B30348"/>
    <w:pPr>
      <w:spacing w:before="100" w:beforeAutospacing="1" w:after="100" w:afterAutospacing="1"/>
    </w:pPr>
    <w:rPr>
      <w:rFonts w:ascii="Tahoma" w:eastAsia="Times New Roman" w:hAnsi="Tahoma" w:cs="Tahoma"/>
      <w:color w:val="000000"/>
      <w:sz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APHA</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aphauser</dc:creator>
  <cp:lastModifiedBy>aphauser</cp:lastModifiedBy>
  <cp:revision>2</cp:revision>
  <dcterms:created xsi:type="dcterms:W3CDTF">2015-05-11T13:52:00Z</dcterms:created>
  <dcterms:modified xsi:type="dcterms:W3CDTF">2015-05-11T13:52:00Z</dcterms:modified>
</cp:coreProperties>
</file>